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23" w:rsidRPr="00353823" w:rsidRDefault="00353823" w:rsidP="00353823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353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 правительство «</w:t>
      </w:r>
      <w:r w:rsidRPr="0035382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 утверждении Перечня 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и внесении изменений в некоторые решения Правительства Кыргызской Республики в сфере нетарифного регулирования</w:t>
      </w:r>
      <w:r w:rsidRPr="00353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от </w:t>
      </w:r>
      <w:r w:rsidRPr="00353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 апреля 2021 года № 156</w:t>
      </w:r>
      <w:proofErr w:type="gramEnd"/>
    </w:p>
    <w:bookmarkEnd w:id="0"/>
    <w:p w:rsidR="00353823" w:rsidRDefault="00353823" w:rsidP="00353823">
      <w:pPr>
        <w:shd w:val="clear" w:color="auto" w:fill="FFFFFF"/>
        <w:tabs>
          <w:tab w:val="left" w:pos="9355"/>
        </w:tabs>
        <w:spacing w:before="400" w:after="400" w:line="276" w:lineRule="atLeast"/>
        <w:ind w:right="-1" w:firstLine="113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353823" w:rsidRPr="00353823" w:rsidRDefault="00353823" w:rsidP="00353823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3160" cy="1153160"/>
            <wp:effectExtent l="0" t="0" r="8890" b="889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23" w:rsidRPr="00353823" w:rsidRDefault="00353823" w:rsidP="00353823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ПРАВИТЕЛЬСТВО КЫРГЫЗСКОЙ РЕСПУБЛИКИ</w:t>
      </w:r>
    </w:p>
    <w:p w:rsidR="00353823" w:rsidRPr="00353823" w:rsidRDefault="00353823" w:rsidP="00353823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ПОСТАНОВЛЕНИЕ</w:t>
      </w:r>
    </w:p>
    <w:p w:rsidR="00353823" w:rsidRPr="00353823" w:rsidRDefault="00353823" w:rsidP="00353823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53823" w:rsidRPr="00353823" w:rsidRDefault="00353823" w:rsidP="0035382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20 апреля 2021 года № 156</w:t>
      </w:r>
    </w:p>
    <w:p w:rsidR="00353823" w:rsidRPr="00353823" w:rsidRDefault="00353823" w:rsidP="00353823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Об утверждении Перечня 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и внесении изменений в некоторые решения Правительства Кыргызской Республики в сфере нетарифного регулирования</w:t>
      </w:r>
    </w:p>
    <w:p w:rsidR="00353823" w:rsidRPr="00353823" w:rsidRDefault="00353823" w:rsidP="00353823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Кабинета Министров </w:t>
      </w:r>
      <w:proofErr w:type="gramStart"/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19 мая 2021 года № 1</w:t>
        </w:r>
        <w:r w:rsidRPr="00353823">
          <w:rPr>
            <w:rFonts w:ascii="Arial" w:eastAsia="Times New Roman" w:hAnsi="Arial" w:cs="Arial"/>
            <w:sz w:val="24"/>
            <w:szCs w:val="24"/>
            <w:lang w:val="ky-KG" w:eastAsia="ru-RU"/>
          </w:rPr>
          <w:t>1</w:t>
        </w:r>
      </w:hyperlink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11 июня 2021 года № 26</w:t>
        </w:r>
      </w:hyperlink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" w:history="1">
        <w:r w:rsidRPr="0035382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17 декабря 2021 года № 313</w:t>
        </w:r>
      </w:hyperlink>
      <w:r w:rsidRPr="003538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</w:t>
      </w:r>
      <w:hyperlink r:id="rId9" w:history="1">
        <w:r w:rsidRPr="00353823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16 декабря 2022 года № 699)</w:t>
        </w:r>
      </w:hyperlink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приведения нормативных правовых актов в соответствие со структурой Правительства Кыргызской Республики, утвержденной </w:t>
      </w:r>
      <w:hyperlink r:id="rId10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 от 3 февраля 2021 года № 4358-VI, руководствуясь статьями </w:t>
      </w:r>
      <w:hyperlink r:id="rId11" w:anchor="st_9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9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 </w:t>
      </w:r>
      <w:hyperlink r:id="rId12" w:anchor="st_11_1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11-1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Закона </w:t>
      </w: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Кыргызской Республики "О государственном регулировании внешнеторговой деятельности в Кыргызской Республике", статьями </w:t>
      </w:r>
      <w:hyperlink r:id="rId13" w:anchor="st_10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10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 </w:t>
      </w:r>
      <w:hyperlink r:id="rId14" w:anchor="st_17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конституционного Закона Кыргызской Республики "О Правительстве Кыргызской Республики", Правительство Кыргызской Республики</w:t>
      </w:r>
      <w:proofErr w:type="gramEnd"/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 </w:t>
      </w:r>
      <w:hyperlink r:id="rId15" w:anchor="pr" w:history="1">
        <w:r w:rsidRPr="00353823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согласно приложению.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2. </w:t>
      </w:r>
      <w:hyperlink r:id="rId16" w:history="1">
        <w:r w:rsidRPr="0035382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ky-KG" w:eastAsia="ru-RU"/>
          </w:rPr>
          <w:t>(Утратил силу в соответствии с постановлением Кабинета Министров КР от 17 декабря 2021 года № 313)</w:t>
        </w:r>
      </w:hyperlink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Внести в </w:t>
      </w:r>
      <w:hyperlink r:id="rId17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порядке выдачи электронного разрешительного документа (лицензии/заключения/разрешения) на экспорт/импорт/транзит товаров, включенных в Единый перечень товаров, к которым применяются меры нетарифного регулирования в торговле с третьими странами по принципу "единого окна" от 26 декабря 2019 года № 708 следующие изменения: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пункт 2 изложить в следующей редакции: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"2. </w:t>
      </w: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Государственным органам, определяемым соответствующим решением Правительства Кыргызской Республики, организациям-экспертам и лицензиарам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уполномоченному государственному органу в сфере таможенного дела руководствоваться Протоколом о мерах нетарифного регулирования в отношении третьих стран, решениями Коллегии Евразийской экономической комиссии "О нормативных правовых</w:t>
      </w:r>
      <w:proofErr w:type="gram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актах</w:t>
      </w:r>
      <w:proofErr w:type="gram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области нетарифного регулирования" от 16 августа 2012 года № 134, "О мерах нетарифного регулирования" от 21 апреля 2015 года № 30 и настоящим постановлением.";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 </w:t>
      </w:r>
      <w:hyperlink r:id="rId18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выдачи электронного разрешительного документа (лицензии/заключения/разрешения) на экспорт/импорт/транзит товаров, включенных в Единый перечень товаров, к которым применяются меры нетарифного регулирования в торговле с третьими странами по принципу "единого окна", утвержденном вышеуказанным </w:t>
      </w:r>
      <w:hyperlink r:id="rId19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абзаце тринадцатом пункта 6 слова "при Министерстве экономики" заменить словами "при Министерстве экономики и финансов";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26 изложить в следующей редакции: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"26. Электронный разрешительный документ считается выданным с момента подписания электронного разрешительного документа электронной подписью соответствующего руководителя или руководителя структурного подразделения органа-лицензиара.";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подпункт 5 пункта 29 признать утратившим силу;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пункт 30 изложить в следующей редакции: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"30. Заявитель вправе обжаловать решение организации-эксперта об отказе в выдаче экспертного заключения в административном, (досудебном) порядке, в соответствии с </w:t>
      </w:r>
      <w:hyperlink r:id="rId20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основах административной деятельности и административных процедурах</w:t>
      </w: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абзац первый пункта 41 после слов "сбоев в ИСЕО" дополнить словами "и/или до запуска ИСЕО в промышленном режиме".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Внести в </w:t>
      </w:r>
      <w:hyperlink r:id="rId21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уполномоченном органе Кыргызской Республики по реализации Конвенции о запрещении разработки, производства и накопления запасов бактериологического (биологического) и токсинного оружия и об их уничтожении, подписанной 10 апреля 1972 года в городах Москва, Лондон и Вашингтон" от 8 июня 2020 года № 310 следующее изменение: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пункте 1 слова "Министерство экономики" заменить словами "Министерство экономики и финансов".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Признать утратившими силу: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</w:t>
      </w:r>
      <w:hyperlink r:id="rId22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странами, и внесении изменений в некоторые решения Правительства Кыргызской Республики" от 24 марта 2016 года № 142;</w:t>
      </w:r>
      <w:proofErr w:type="gramEnd"/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</w:t>
      </w:r>
      <w:hyperlink r:id="rId23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изменений в </w:t>
      </w:r>
      <w:hyperlink r:id="rId24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и лицензиаров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внесении дополнений и изменений в некоторые решения Правительства Кыргызской Республики" от 24 марта 2016 года № 142" от</w:t>
      </w:r>
      <w:proofErr w:type="gram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22 мая 2017 года № 300;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 </w:t>
      </w:r>
      <w:hyperlink r:id="rId25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изменения в </w:t>
      </w:r>
      <w:hyperlink r:id="rId26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 Перечня организаций-экспертов и лицензиаров по лицензированию экспорта и импорта специфических товаров, включенных в Единый перечень товаров, к которым применяются меры нетарифного регулирования в торговле с третьими странами, и внесении дополнений и изменений в некоторые решения Правительства Кыргызской Республики" от 24 марта 2016 года № 142" от</w:t>
      </w:r>
      <w:proofErr w:type="gramEnd"/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 ноября 2018 года № 518;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пункт 2 </w:t>
      </w:r>
      <w:hyperlink r:id="rId27" w:history="1">
        <w:r w:rsidRPr="003538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внесении изменений в некоторые решения Правительства Кыргызской Республики по вопросу определения уполномоченных органов в сфере нетарифного регулирования" от 22 июля 2020 года № 392.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Настоящее постановление вступает в силу со дня официального опубликования.</w:t>
      </w:r>
    </w:p>
    <w:p w:rsidR="00353823" w:rsidRPr="00353823" w:rsidRDefault="00353823" w:rsidP="0035382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Опубликован</w:t>
      </w:r>
      <w:proofErr w:type="gramEnd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 xml:space="preserve"> в газете "</w:t>
      </w:r>
      <w:proofErr w:type="spellStart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Эркин</w:t>
      </w:r>
      <w:proofErr w:type="spellEnd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 xml:space="preserve"> </w:t>
      </w:r>
      <w:proofErr w:type="spellStart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Тоо</w:t>
      </w:r>
      <w:proofErr w:type="spellEnd"/>
      <w:r w:rsidRPr="00353823">
        <w:rPr>
          <w:rFonts w:ascii="Arial" w:eastAsia="Times New Roman" w:hAnsi="Arial" w:cs="Arial"/>
          <w:i/>
          <w:iCs/>
          <w:color w:val="006600"/>
          <w:sz w:val="24"/>
          <w:szCs w:val="24"/>
          <w:lang w:eastAsia="ru-RU"/>
        </w:rPr>
        <w:t>" от 30 апреля 2021 года № 38</w:t>
      </w:r>
    </w:p>
    <w:p w:rsidR="00353823" w:rsidRPr="00353823" w:rsidRDefault="00353823" w:rsidP="0035382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3823" w:rsidRPr="00353823" w:rsidTr="00353823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ky-KG" w:eastAsia="ru-RU"/>
              </w:rPr>
              <w:t>Премьер-министр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ky-KG" w:eastAsia="ru-RU"/>
              </w:rPr>
              <w:t>У.А. Марипов</w:t>
            </w:r>
          </w:p>
        </w:tc>
      </w:tr>
    </w:tbl>
    <w:p w:rsidR="00353823" w:rsidRPr="00353823" w:rsidRDefault="00353823" w:rsidP="00353823">
      <w:pPr>
        <w:shd w:val="clear" w:color="auto" w:fill="FFFFFF"/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353823" w:rsidRPr="00353823" w:rsidTr="00353823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bookmarkStart w:id="1" w:name="pr"/>
            <w:bookmarkEnd w:id="1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353823" w:rsidRPr="00353823" w:rsidRDefault="00353823" w:rsidP="00353823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ПЕРЕЧЕНЬ</w:t>
      </w:r>
      <w:r w:rsidRPr="0035382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организаций-экспертов по выдаче экспертного заключения и уполномоченных органов по выдаче разрешительных документов на экспорт и импорт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p w:rsidR="00353823" w:rsidRPr="00353823" w:rsidRDefault="00353823" w:rsidP="00353823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Кабинета Министров </w:t>
      </w:r>
      <w:proofErr w:type="gramStart"/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8" w:history="1">
        <w:r w:rsidRPr="0035382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19 мая 2021 года № 11</w:t>
        </w:r>
      </w:hyperlink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begin"/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instrText xml:space="preserve"> HYPERLINK "http://cbd.minjust.gov.kg/act/view/ru-ru/158292?cl=ru-ru" </w:instrText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separate"/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t>11 июня 2021 года № 26</w:t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fldChar w:fldCharType="end"/>
      </w:r>
      <w:r w:rsidRPr="0035382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t>, </w:t>
      </w:r>
      <w:hyperlink r:id="rId29" w:history="1">
        <w:r w:rsidRPr="0035382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16 декабря 2022 года № 699</w:t>
        </w:r>
      </w:hyperlink>
      <w:r w:rsidRPr="00353823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030"/>
        <w:gridCol w:w="2691"/>
        <w:gridCol w:w="2366"/>
      </w:tblGrid>
      <w:tr w:rsidR="00353823" w:rsidRPr="00353823" w:rsidTr="0035382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организации-эксперта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  <w:tr w:rsidR="00353823" w:rsidRPr="00353823" w:rsidTr="003538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1. Товары,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Озоноразрушающие</w:t>
            </w:r>
            <w:proofErr w:type="spellEnd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вещества согласно позиции 2.1 Единого перечня, утвержденного Решением Коллегии Евразийской экономической комиссии от 16 августа 2012 года № 134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Средства защиты растений (пестициды) согласно позиции 2.2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 хозяйства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Опасные отходы согласно позиции 2.3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Коллекции и предметы коллекционирования по минералогии и палеонтологии согласно позиции 2.4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Республики;</w:t>
            </w:r>
          </w:p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культуры, информации, спорта и молодежной политики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Дикие живые животные, отдельные дикорастущие растения и дикорастущее лекарственное сырье согласно позиции 2.6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Редкие и находящиеся под угрозой исчезновения виды диких живых животных и дикорастущих растений, включенные в красные книги государств-членов Евразийского экономического союза, согласно позиции 2.8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Драгоценные камни согласно позиции 2.9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Департамент драгоценных металлов при Министерстве финансов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Драгоценные металлы и сырьевые товары, содержащие драгоценные металлы, согласно позиции 2.10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Департамент драгоценных металлов при Министерстве финансов Кыргызской Республики;</w:t>
            </w:r>
          </w:p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 (при вывозе руды и концентратов драгоценных металлов и сырьевых товаров, содержащих драгоценные металлы)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Виды минерального сырья согласно позиции 2.11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Наркотические средства, психотропные вещества и их </w:t>
            </w:r>
            <w:proofErr w:type="spellStart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согласно позиции 2.12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Ядовитые вещества, не являющиеся </w:t>
            </w:r>
            <w:proofErr w:type="spellStart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наркотических средств и психотропных веществ, согласно позиции 2.13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Республики;</w:t>
            </w:r>
          </w:p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Лекарственные средства согласно позиции 2.14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Радиоэлектронные средства и (или) высокочастотные устройства гражданского назначения, в том числе встроенные либо входящие в состав других товаров, согласно позиции 2.16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Служба по регулированию и надзору отрасли связи при Министерстве цифрового развития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Специальные технические средства, предназначенные для негласного получения информации, согласно позиции 2.17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Шифровальные (криптографические) средства согласно позиции 2.19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Культурные ценности, документы национальных архивных фондов, оригиналы архивных документов согласно позиции 2.20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культуры, информации, спорта и молодежной политики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Органы и ткани человека, кровь и ее компоненты, образцы биологических материалов человека согласно позиции 2.21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здравоохранения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Служебное и гражданское оружие, его основные (составные) части и патроны к нему согласно позиции 2.22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внутренних дел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Информация о недрах по районам и месторождениям топливно-энергетического и минерального сырья согласно позиции 2.23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природных ресурсов, экологии и технического надзора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стандарта, согласно позиции 2.30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 хозяйства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2. Товары, в отношении которых принято решение об установлении тарифной квоты, импортной (специальной) квоты в качестве специальной защитной меры и о выдаче лицензии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Отдельные виды сельскохозяйственных товаров, в отношении которых принято решение об установлении тарифной квоты и о выдаче лицензии, согласно позиции 2.27 Единого перечня, утвержденного Решением Коллегии Евразийской экономической комиссии от 21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 хозяйства Кыргызской Республики;</w:t>
            </w:r>
          </w:p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Ветеринарная служба при Министерстве сельского хозяйства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  <w:tr w:rsidR="00353823" w:rsidRPr="00353823" w:rsidTr="00353823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Товары, происходящие из Республики Сербия и ввозимые на территории государств-членов Евразийского экономического союза в рамках объемов тарифных квот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года, согласно позиции 3.1 Единого перечня, утвержденного Решением Коллегии Евразийской экономической комиссии от 21</w:t>
            </w:r>
            <w:proofErr w:type="gramEnd"/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апреля 2015 года № 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сельского хозяйства Кыргызской Республики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3" w:rsidRPr="00353823" w:rsidRDefault="00353823" w:rsidP="00353823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5382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Министерство экономики и коммерции Кыргызской Республики</w:t>
            </w:r>
          </w:p>
        </w:tc>
      </w:tr>
    </w:tbl>
    <w:p w:rsidR="00353823" w:rsidRPr="00353823" w:rsidRDefault="00353823" w:rsidP="00353823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EB5C41" w:rsidRDefault="00353823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3"/>
    <w:rsid w:val="00353823"/>
    <w:rsid w:val="0042361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3823"/>
    <w:rPr>
      <w:i/>
      <w:iCs/>
    </w:rPr>
  </w:style>
  <w:style w:type="character" w:styleId="a4">
    <w:name w:val="Hyperlink"/>
    <w:basedOn w:val="a0"/>
    <w:uiPriority w:val="99"/>
    <w:semiHidden/>
    <w:unhideWhenUsed/>
    <w:rsid w:val="00353823"/>
  </w:style>
  <w:style w:type="paragraph" w:styleId="a5">
    <w:name w:val="Balloon Text"/>
    <w:basedOn w:val="a"/>
    <w:link w:val="a6"/>
    <w:uiPriority w:val="99"/>
    <w:semiHidden/>
    <w:unhideWhenUsed/>
    <w:rsid w:val="0035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3823"/>
    <w:rPr>
      <w:i/>
      <w:iCs/>
    </w:rPr>
  </w:style>
  <w:style w:type="character" w:styleId="a4">
    <w:name w:val="Hyperlink"/>
    <w:basedOn w:val="a0"/>
    <w:uiPriority w:val="99"/>
    <w:semiHidden/>
    <w:unhideWhenUsed/>
    <w:rsid w:val="00353823"/>
  </w:style>
  <w:style w:type="paragraph" w:styleId="a5">
    <w:name w:val="Balloon Text"/>
    <w:basedOn w:val="a"/>
    <w:link w:val="a6"/>
    <w:uiPriority w:val="99"/>
    <w:semiHidden/>
    <w:unhideWhenUsed/>
    <w:rsid w:val="0035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58794?cl=ru-ru" TargetMode="External"/><Relationship Id="rId13" Type="http://schemas.openxmlformats.org/officeDocument/2006/relationships/hyperlink" Target="http://cbd.minjust.gov.kg/act/view/ru-ru/203685?cl=ru-ru" TargetMode="External"/><Relationship Id="rId18" Type="http://schemas.openxmlformats.org/officeDocument/2006/relationships/hyperlink" Target="http://cbd.minjust.gov.kg/act/view/ru-ru/158274?cl=ru-ru" TargetMode="External"/><Relationship Id="rId26" Type="http://schemas.openxmlformats.org/officeDocument/2006/relationships/hyperlink" Target="http://cbd.minjust.gov.kg/act/view/ru-ru/99102?cl=ru-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57872?cl=ru-ru" TargetMode="External"/><Relationship Id="rId7" Type="http://schemas.openxmlformats.org/officeDocument/2006/relationships/hyperlink" Target="http://cbd.minjust.gov.kg/act/view/ru-ru/158292?cl=ru-ru" TargetMode="External"/><Relationship Id="rId12" Type="http://schemas.openxmlformats.org/officeDocument/2006/relationships/hyperlink" Target="http://cbd.minjust.gov.kg/act/view/ru-ru/541?cl=ru-ru" TargetMode="External"/><Relationship Id="rId17" Type="http://schemas.openxmlformats.org/officeDocument/2006/relationships/hyperlink" Target="http://cbd.minjust.gov.kg/act/view/ru-ru/158273?cl=ru-ru" TargetMode="External"/><Relationship Id="rId25" Type="http://schemas.openxmlformats.org/officeDocument/2006/relationships/hyperlink" Target="http://cbd.minjust.gov.kg/act/view/ru-ru/12689?cl=ru-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158794?cl=ru-ru" TargetMode="External"/><Relationship Id="rId20" Type="http://schemas.openxmlformats.org/officeDocument/2006/relationships/hyperlink" Target="http://cbd.minjust.gov.kg/act/view/ru-ru/111254?cl=ru-ru" TargetMode="External"/><Relationship Id="rId29" Type="http://schemas.openxmlformats.org/officeDocument/2006/relationships/hyperlink" Target="http://cbd.minjust.gov.kg/act/view/ru-ru/159667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58278?cl=ru-ru" TargetMode="External"/><Relationship Id="rId11" Type="http://schemas.openxmlformats.org/officeDocument/2006/relationships/hyperlink" Target="http://cbd.minjust.gov.kg/act/view/ru-ru/541?cl=ru-ru" TargetMode="External"/><Relationship Id="rId24" Type="http://schemas.openxmlformats.org/officeDocument/2006/relationships/hyperlink" Target="http://cbd.minjust.gov.kg/act/view/ru-ru/99102?cl=ru-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bd.minjust.gov.kg/act/view/ru-ru/158249?cl=ru-ru" TargetMode="External"/><Relationship Id="rId23" Type="http://schemas.openxmlformats.org/officeDocument/2006/relationships/hyperlink" Target="http://cbd.minjust.gov.kg/act/view/ru-ru/98808?cl=ru-ru" TargetMode="External"/><Relationship Id="rId28" Type="http://schemas.openxmlformats.org/officeDocument/2006/relationships/hyperlink" Target="http://cbd.minjust.gov.kg/act/view/ru-ru/158278?cl=ru-ru" TargetMode="External"/><Relationship Id="rId10" Type="http://schemas.openxmlformats.org/officeDocument/2006/relationships/hyperlink" Target="http://cbd.minjust.gov.kg/act/view/ru-ru/88114?cl=ru-ru" TargetMode="External"/><Relationship Id="rId19" Type="http://schemas.openxmlformats.org/officeDocument/2006/relationships/hyperlink" Target="http://cbd.minjust.gov.kg/act/view/ru-ru/158273?cl=ru-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59667?cl=ru-ru" TargetMode="External"/><Relationship Id="rId14" Type="http://schemas.openxmlformats.org/officeDocument/2006/relationships/hyperlink" Target="http://cbd.minjust.gov.kg/act/view/ru-ru/203685?cl=ru-ru" TargetMode="External"/><Relationship Id="rId22" Type="http://schemas.openxmlformats.org/officeDocument/2006/relationships/hyperlink" Target="http://cbd.minjust.gov.kg/act/view/ru-ru/99102?cl=ru-ru" TargetMode="External"/><Relationship Id="rId27" Type="http://schemas.openxmlformats.org/officeDocument/2006/relationships/hyperlink" Target="http://cbd.minjust.gov.kg/act/view/ru-ru/157786?cl=ru-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2660</Words>
  <Characters>15166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2023-01-24T05:43:00Z</dcterms:created>
  <dcterms:modified xsi:type="dcterms:W3CDTF">2023-01-24T05:46:00Z</dcterms:modified>
</cp:coreProperties>
</file>